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32A91" w:rsidRDefault="00000000">
      <w:pPr>
        <w:spacing w:before="240" w:after="240" w:line="360" w:lineRule="auto"/>
        <w:jc w:val="both"/>
        <w:rPr>
          <w:rFonts w:ascii="Arial" w:eastAsia="Arial" w:hAnsi="Arial" w:cs="Arial"/>
          <w:sz w:val="28"/>
          <w:szCs w:val="28"/>
        </w:rPr>
      </w:pPr>
      <w:r>
        <w:rPr>
          <w:rFonts w:ascii="Arial" w:eastAsia="Arial" w:hAnsi="Arial" w:cs="Arial"/>
          <w:sz w:val="28"/>
          <w:szCs w:val="28"/>
        </w:rPr>
        <w:t>En la Ciudad de Paraná, siendo las 19:45 horas del día 08 de septiembre de 2025, se reúne el Consejo Directivo de Co.P.E.R, en la Casa del Colegio de Psicólogos de Entre Ríos, sito en calle Italia 335 de la ciudad de Paraná; encontrándose las siguientes autoridades:</w:t>
      </w:r>
      <w:r>
        <w:rPr>
          <w:rFonts w:ascii="Arial" w:eastAsia="Arial" w:hAnsi="Arial" w:cs="Arial"/>
          <w:b/>
          <w:sz w:val="28"/>
          <w:szCs w:val="28"/>
        </w:rPr>
        <w:t xml:space="preserve"> </w:t>
      </w:r>
      <w:r>
        <w:rPr>
          <w:rFonts w:ascii="Arial" w:eastAsia="Arial" w:hAnsi="Arial" w:cs="Arial"/>
          <w:sz w:val="28"/>
          <w:szCs w:val="28"/>
        </w:rPr>
        <w:t>Nicolás Kletzky (MP 2265); Gabriela Benitez (MP 730); Victoria Delaude (MP 1910); Franco Vago (2163); Mayka Surraco (MP); Glenys Rochi Méndez (MP 2197); Gabriel Leturia (MP 2012); Luciano Pagani (MP 2054); Gonzalo Lonfat (MP 2013); Nadia Redondo (MP 2142); Secretaria General Regional Sur María Elisa Benetti (MP 1340) También se encuentran presentes Jessica Basso (MP 2030); Lucas Nicolás Barrios (MP 2673); Agustina Santarelli (MP 2112); Jacqueline Eichhorn (MP 2430); Brian Quatrocchi (MP 2781).</w:t>
      </w:r>
    </w:p>
    <w:p w14:paraId="00000002"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Orden del día:</w:t>
      </w:r>
    </w:p>
    <w:p w14:paraId="00000003"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 xml:space="preserve">Lectura y aprobación del acta reunión de CD anterior. </w:t>
      </w:r>
    </w:p>
    <w:p w14:paraId="00000004"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Contratación Perito Informático.</w:t>
      </w:r>
    </w:p>
    <w:p w14:paraId="00000005"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Proyecto de Secretaría de regional Este.</w:t>
      </w:r>
    </w:p>
    <w:p w14:paraId="00000006"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Propuesta de creación de la Comisión de Género y Disidencias.</w:t>
      </w:r>
    </w:p>
    <w:p w14:paraId="00000007"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Actividad Estética de lo pulsional. Sublimación Arte y Psicoanálisis.</w:t>
      </w:r>
    </w:p>
    <w:p w14:paraId="00000008"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Equipamiento de regionales.</w:t>
      </w:r>
    </w:p>
    <w:p w14:paraId="00000009"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Acto de matriculación/ festejo día de la Psicóloga/o.</w:t>
      </w:r>
    </w:p>
    <w:p w14:paraId="0000000A"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Becas.</w:t>
      </w:r>
    </w:p>
    <w:p w14:paraId="0000000B" w14:textId="77777777" w:rsidR="00E32A91" w:rsidRDefault="00000000">
      <w:pPr>
        <w:numPr>
          <w:ilvl w:val="0"/>
          <w:numId w:val="1"/>
        </w:numPr>
        <w:spacing w:after="0" w:line="360" w:lineRule="auto"/>
        <w:jc w:val="both"/>
        <w:rPr>
          <w:rFonts w:ascii="Arial" w:eastAsia="Arial" w:hAnsi="Arial" w:cs="Arial"/>
          <w:sz w:val="28"/>
          <w:szCs w:val="28"/>
        </w:rPr>
      </w:pPr>
      <w:r>
        <w:rPr>
          <w:rFonts w:ascii="Arial" w:eastAsia="Arial" w:hAnsi="Arial" w:cs="Arial"/>
          <w:sz w:val="28"/>
          <w:szCs w:val="28"/>
        </w:rPr>
        <w:t>Varios.</w:t>
      </w:r>
    </w:p>
    <w:p w14:paraId="0000000C" w14:textId="77777777" w:rsidR="00E32A91" w:rsidRDefault="00E32A91">
      <w:pPr>
        <w:spacing w:line="360" w:lineRule="auto"/>
        <w:jc w:val="both"/>
        <w:rPr>
          <w:rFonts w:ascii="Arial" w:eastAsia="Arial" w:hAnsi="Arial" w:cs="Arial"/>
          <w:sz w:val="28"/>
          <w:szCs w:val="28"/>
        </w:rPr>
      </w:pPr>
    </w:p>
    <w:p w14:paraId="0000000D" w14:textId="77777777" w:rsidR="00E32A91" w:rsidRDefault="00000000">
      <w:pPr>
        <w:spacing w:line="360" w:lineRule="auto"/>
        <w:jc w:val="both"/>
        <w:rPr>
          <w:rFonts w:ascii="Arial" w:eastAsia="Arial" w:hAnsi="Arial" w:cs="Arial"/>
          <w:color w:val="000000"/>
          <w:sz w:val="28"/>
          <w:szCs w:val="28"/>
        </w:rPr>
      </w:pPr>
      <w:r>
        <w:rPr>
          <w:rFonts w:ascii="Arial" w:eastAsia="Arial" w:hAnsi="Arial" w:cs="Arial"/>
          <w:color w:val="000000"/>
          <w:sz w:val="28"/>
          <w:szCs w:val="28"/>
        </w:rPr>
        <w:lastRenderedPageBreak/>
        <w:t xml:space="preserve">Toma la palabra </w:t>
      </w:r>
      <w:r>
        <w:rPr>
          <w:rFonts w:ascii="Arial" w:eastAsia="Arial" w:hAnsi="Arial" w:cs="Arial"/>
          <w:sz w:val="28"/>
          <w:szCs w:val="28"/>
        </w:rPr>
        <w:t>el</w:t>
      </w:r>
      <w:r>
        <w:rPr>
          <w:rFonts w:ascii="Arial" w:eastAsia="Arial" w:hAnsi="Arial" w:cs="Arial"/>
          <w:color w:val="000000"/>
          <w:sz w:val="28"/>
          <w:szCs w:val="28"/>
        </w:rPr>
        <w:t xml:space="preserve"> Sr. </w:t>
      </w:r>
      <w:r>
        <w:rPr>
          <w:rFonts w:ascii="Arial" w:eastAsia="Arial" w:hAnsi="Arial" w:cs="Arial"/>
          <w:sz w:val="28"/>
          <w:szCs w:val="28"/>
        </w:rPr>
        <w:t>Pr</w:t>
      </w:r>
      <w:r>
        <w:rPr>
          <w:rFonts w:ascii="Arial" w:eastAsia="Arial" w:hAnsi="Arial" w:cs="Arial"/>
          <w:color w:val="000000"/>
          <w:sz w:val="28"/>
          <w:szCs w:val="28"/>
        </w:rPr>
        <w:t>esidente, Nicol</w:t>
      </w:r>
      <w:r>
        <w:rPr>
          <w:rFonts w:ascii="Arial" w:eastAsia="Arial" w:hAnsi="Arial" w:cs="Arial"/>
          <w:sz w:val="28"/>
          <w:szCs w:val="28"/>
        </w:rPr>
        <w:t>ás Kletzky</w:t>
      </w:r>
      <w:r>
        <w:rPr>
          <w:rFonts w:ascii="Arial" w:eastAsia="Arial" w:hAnsi="Arial" w:cs="Arial"/>
          <w:color w:val="000000"/>
          <w:sz w:val="28"/>
          <w:szCs w:val="28"/>
        </w:rPr>
        <w:t>, quien, respecto del primer punto del orden del día, mociona la aprobación de</w:t>
      </w:r>
      <w:r>
        <w:rPr>
          <w:rFonts w:ascii="Arial" w:eastAsia="Arial" w:hAnsi="Arial" w:cs="Arial"/>
          <w:sz w:val="28"/>
          <w:szCs w:val="28"/>
        </w:rPr>
        <w:t xml:space="preserve"> las</w:t>
      </w:r>
      <w:r>
        <w:rPr>
          <w:rFonts w:ascii="Arial" w:eastAsia="Arial" w:hAnsi="Arial" w:cs="Arial"/>
          <w:color w:val="000000"/>
          <w:sz w:val="28"/>
          <w:szCs w:val="28"/>
        </w:rPr>
        <w:t xml:space="preserve"> actas de las reuni</w:t>
      </w:r>
      <w:r>
        <w:rPr>
          <w:rFonts w:ascii="Arial" w:eastAsia="Arial" w:hAnsi="Arial" w:cs="Arial"/>
          <w:sz w:val="28"/>
          <w:szCs w:val="28"/>
        </w:rPr>
        <w:t>o</w:t>
      </w:r>
      <w:r>
        <w:rPr>
          <w:rFonts w:ascii="Arial" w:eastAsia="Arial" w:hAnsi="Arial" w:cs="Arial"/>
          <w:color w:val="000000"/>
          <w:sz w:val="28"/>
          <w:szCs w:val="28"/>
        </w:rPr>
        <w:t>nes anteriores. En este sentido, se aprueba sin modificaciones.</w:t>
      </w:r>
    </w:p>
    <w:p w14:paraId="0000000E"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En cuánto al segundo punto del orden del día, refiere que tanto Javier Besso y Daniel Gamero se ocupen de solicitar al perito de la lista para que remita presupuesto y Marcelo Alva se ocupe del pago. Se acuerda.</w:t>
      </w:r>
    </w:p>
    <w:p w14:paraId="0000000F"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Toma la palabra Jessica Basso, de Regional Este, quien pone en conocimiento que una colega acercó la propuesta de formación en una aproximación de Terapias de aceptación y compromiso, del enfoque Cognitivo Conductual. La misma se llevaría a cabo el sábado 11 de octubre, con una duración aproximada de 4 horas, con un receso intermedio y sería bimodal. Se trata de una colega con reconocida trayectoria y con formación constante. Propusieron valor de hora cátedra y un valor mínimo de $5.000 para la inscripción. Gabriela Benitez propone extender la invitación a CoPNAF, en el marco del Convenio celebrado. Se aprueba.</w:t>
      </w:r>
    </w:p>
    <w:p w14:paraId="00000010"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María Elisa Benetti aporta que desde la Regional Sur realizan una lista de difusión incluyendo a todas las instituciones.</w:t>
      </w:r>
    </w:p>
    <w:p w14:paraId="00000011"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 xml:space="preserve">Lucas Barrios da cuenta de la propuesta de creación de la Comisión de Estudios sobre Género y Disidencias, la cual se le propone que dependa funcionalmente de la Secretaría Científica. La misma se fundamenta en la necesidad de que la Psicología responda a los debates actuales sobre género y disidencias y en la responsabilidad ética y política del Colegio en transversalizar la perspectiva de género en la formación de </w:t>
      </w:r>
      <w:r>
        <w:rPr>
          <w:rFonts w:ascii="Arial" w:eastAsia="Arial" w:hAnsi="Arial" w:cs="Arial"/>
          <w:sz w:val="28"/>
          <w:szCs w:val="28"/>
        </w:rPr>
        <w:lastRenderedPageBreak/>
        <w:t>sus miembros y en su inserción social, basándose en la concepción del género como construcción performativa y en marcos legales como las Leyes Micaela, de Protección Integral contra la Violencia hacia las Mujeres y de Salud Mental. Plantea como objetivos; la transversalización de la perspectiva de género, la articulación institucional, la producción de conocimiento, la formación y sensibilización. Propone organizar jornadas, seminarios y talleres reflexivos para colegiados y la comunidad y espacios de ateneo clínico, además de una fuerte incidencia pública</w:t>
      </w:r>
    </w:p>
    <w:p w14:paraId="00000012"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Planifica que, durante el primer año se alcance la convocatoria a colegiadxs, sensibilización interna (jornadas, grupo de estudio) y articulación con instituciones; y en un segundo año, la producción de conocimiento y celebración de ateneos clínicos. Espera que el Colegio pueda posicionarse como una institución de referencia que acompaña los marcos normativos, produce conocimiento crítico, transforma las prácticas profesionales y contribuye al debate social sobre igualdad, equidad y diversidad.</w:t>
      </w:r>
    </w:p>
    <w:p w14:paraId="00000013"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Waissmann plantea que Juan Silva del Colegio de Psicólogos de  Bs.AS y Fernando Albornoz de la Federación LGTB habían propuesto la realización de talleres. Asimismo, se propone que en el marco del trabajo de la comisión, se pueda implementar la formación en género, tal como estipula la Ley Micaela y el desarrollo de Talleres de masculinidades. Se aprueba.</w:t>
      </w:r>
    </w:p>
    <w:p w14:paraId="00000014"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 xml:space="preserve">Pagani da cuenta de la realización de una actividad con Carlos Kuri, vía meet, el sábado 20 de septiembre. Se acuerda. Asimismo, refiere que se está trabajando en el equipamiento de las regionales para poder </w:t>
      </w:r>
      <w:r>
        <w:rPr>
          <w:rFonts w:ascii="Arial" w:eastAsia="Arial" w:hAnsi="Arial" w:cs="Arial"/>
          <w:sz w:val="28"/>
          <w:szCs w:val="28"/>
        </w:rPr>
        <w:lastRenderedPageBreak/>
        <w:t>asistir a radios o realizar streamings. En Regional Sur se necesitan microfonos corbateros (2), proyector, una consola y una cámara web para las computadoras que se usen. En Regional Este, se requiere de una computadora.</w:t>
      </w:r>
    </w:p>
    <w:p w14:paraId="00000015"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Franco Vago expresa que, por el momento, el Colegio está afrontando el costo de la refacción de la Regional Sur, por lo que se puede avanzar con la compra de los micrófonos corbateros y la cámara web. Kletzky propone marcar una hoja de ruta para organizar las compras.</w:t>
      </w:r>
    </w:p>
    <w:p w14:paraId="00000016"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Glenys Rochi Méndez propone definir el día del Acto de Jura, a realizarse el 18 de octubre. Se posterga la definición de la fecha para la Fiesta del día de la Psicóloga y el Psicólogo.</w:t>
      </w:r>
    </w:p>
    <w:p w14:paraId="00000017"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Gómez toma la palabra y plantea la importancia de reformular el reglamento de becas, a fin de poder contar con cierto márgen para los montos a adjudicar. Se propone postergar la definición del tema para luego de la Asamblea.</w:t>
      </w:r>
    </w:p>
    <w:p w14:paraId="00000018"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También explicita la solicitud de auspicio del II Congreso de Abuso Sexual en la Infancia, a realizarse el 17 y 18 de octubre. Se acuerda que la comunicación la haga la Secretaría Científica.</w:t>
      </w:r>
    </w:p>
    <w:p w14:paraId="00000019" w14:textId="77777777" w:rsidR="00E32A91" w:rsidRDefault="00000000">
      <w:pPr>
        <w:spacing w:line="360" w:lineRule="auto"/>
        <w:jc w:val="both"/>
        <w:rPr>
          <w:rFonts w:ascii="Arial" w:eastAsia="Arial" w:hAnsi="Arial" w:cs="Arial"/>
          <w:sz w:val="28"/>
          <w:szCs w:val="28"/>
        </w:rPr>
      </w:pPr>
      <w:r>
        <w:rPr>
          <w:rFonts w:ascii="Arial" w:eastAsia="Arial" w:hAnsi="Arial" w:cs="Arial"/>
          <w:sz w:val="28"/>
          <w:szCs w:val="28"/>
        </w:rPr>
        <w:t>Respecto al SAC, Nadia Redondo manifiesta que estuvo demorado en FHAyCs, por lo que en el día de la fecha se mantuvo reunión con el Secretario de Bienestar y Académico, quienes acordaron la firma del convenio la semana próxima. Dentro del convenio marco con FHAyCs-UADER, se requiere la realización de un convenio específico a fin de implementar el SAC. Se propone una fecha estimada para el lanzamiento del Servicio el 18/09 a las 18 hs.</w:t>
      </w:r>
    </w:p>
    <w:p w14:paraId="7EDDE8F1" w14:textId="7615D63E" w:rsidR="00EF721C" w:rsidRDefault="00EF721C">
      <w:pPr>
        <w:spacing w:line="360" w:lineRule="auto"/>
        <w:jc w:val="both"/>
        <w:rPr>
          <w:rFonts w:ascii="Arial" w:eastAsia="Arial" w:hAnsi="Arial" w:cs="Arial"/>
          <w:sz w:val="28"/>
          <w:szCs w:val="28"/>
        </w:rPr>
      </w:pPr>
      <w:r>
        <w:rPr>
          <w:rFonts w:ascii="Arial" w:eastAsia="Arial" w:hAnsi="Arial" w:cs="Arial"/>
          <w:sz w:val="28"/>
          <w:szCs w:val="28"/>
        </w:rPr>
        <w:lastRenderedPageBreak/>
        <w:t xml:space="preserve">Finalmente, Rochi Méndez expone que el Tribunal de Ética resolvió sancionar al colega Alan Court, imponiéndole la inhabilitación para el ejercicio profesional por el plazo de 12 meses. Por lo que debe publicarse la resolución. Además, pone en conocimiento la situación que se suscita con nóveles que pasan al cobro judicial, esclareciendo que, </w:t>
      </w:r>
      <w:r w:rsidR="0099616A">
        <w:rPr>
          <w:rFonts w:ascii="Arial" w:eastAsia="Arial" w:hAnsi="Arial" w:cs="Arial"/>
          <w:sz w:val="28"/>
          <w:szCs w:val="28"/>
        </w:rPr>
        <w:t>al momento del cómputo de la deuda, la misma se calculará en base al número de cuotas adeudadas al valor de general y no al de novel. Se acuerda.</w:t>
      </w:r>
    </w:p>
    <w:p w14:paraId="0000001A" w14:textId="77777777" w:rsidR="00E32A91" w:rsidRDefault="00000000">
      <w:pPr>
        <w:spacing w:line="360" w:lineRule="auto"/>
        <w:jc w:val="both"/>
        <w:rPr>
          <w:rFonts w:ascii="Times New Roman" w:eastAsia="Times New Roman" w:hAnsi="Times New Roman" w:cs="Times New Roman"/>
          <w:color w:val="000000"/>
          <w:sz w:val="28"/>
          <w:szCs w:val="28"/>
        </w:rPr>
      </w:pPr>
      <w:r>
        <w:rPr>
          <w:rFonts w:ascii="Arial" w:eastAsia="Arial" w:hAnsi="Arial" w:cs="Arial"/>
          <w:color w:val="000000"/>
          <w:sz w:val="28"/>
          <w:szCs w:val="28"/>
        </w:rPr>
        <w:t>Siendo las 2</w:t>
      </w:r>
      <w:r>
        <w:rPr>
          <w:rFonts w:ascii="Arial" w:eastAsia="Arial" w:hAnsi="Arial" w:cs="Arial"/>
          <w:sz w:val="28"/>
          <w:szCs w:val="28"/>
        </w:rPr>
        <w:t>1</w:t>
      </w:r>
      <w:r>
        <w:rPr>
          <w:rFonts w:ascii="Arial" w:eastAsia="Arial" w:hAnsi="Arial" w:cs="Arial"/>
          <w:color w:val="000000"/>
          <w:sz w:val="28"/>
          <w:szCs w:val="28"/>
        </w:rPr>
        <w:t>:</w:t>
      </w:r>
      <w:r>
        <w:rPr>
          <w:rFonts w:ascii="Arial" w:eastAsia="Arial" w:hAnsi="Arial" w:cs="Arial"/>
          <w:sz w:val="28"/>
          <w:szCs w:val="28"/>
        </w:rPr>
        <w:t>45</w:t>
      </w:r>
      <w:r>
        <w:rPr>
          <w:rFonts w:ascii="Arial" w:eastAsia="Arial" w:hAnsi="Arial" w:cs="Arial"/>
          <w:color w:val="000000"/>
          <w:sz w:val="28"/>
          <w:szCs w:val="28"/>
        </w:rPr>
        <w:t xml:space="preserve"> horas, se da por concluida la reunión, en lugar y fecha expresada precedentemente, se da conformidad.-</w:t>
      </w:r>
    </w:p>
    <w:p w14:paraId="0000001B" w14:textId="77777777" w:rsidR="00E32A91" w:rsidRDefault="00E32A91">
      <w:pPr>
        <w:spacing w:line="360" w:lineRule="auto"/>
        <w:rPr>
          <w:rFonts w:ascii="Arial" w:eastAsia="Arial" w:hAnsi="Arial" w:cs="Arial"/>
          <w:sz w:val="28"/>
          <w:szCs w:val="28"/>
        </w:rPr>
      </w:pPr>
    </w:p>
    <w:sectPr w:rsidR="00E32A91">
      <w:foot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5C042" w14:textId="77777777" w:rsidR="0005779D" w:rsidRDefault="0005779D">
      <w:pPr>
        <w:spacing w:after="0" w:line="240" w:lineRule="auto"/>
      </w:pPr>
      <w:r>
        <w:separator/>
      </w:r>
    </w:p>
  </w:endnote>
  <w:endnote w:type="continuationSeparator" w:id="0">
    <w:p w14:paraId="328C8435" w14:textId="77777777" w:rsidR="0005779D" w:rsidRDefault="00057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2AFFDBC9-D3CC-4B68-ABE7-92B4652CFCF5}"/>
    <w:embedItalic r:id="rId2" w:fontKey="{7CE163C2-5618-4EF7-A2CE-74D2636AA05E}"/>
  </w:font>
  <w:font w:name="Play">
    <w:charset w:val="00"/>
    <w:family w:val="auto"/>
    <w:pitch w:val="default"/>
    <w:embedRegular r:id="rId3" w:fontKey="{826C79CA-6984-4147-84F6-D6C7ADE0BA1A}"/>
  </w:font>
  <w:font w:name="Aptos Display">
    <w:charset w:val="00"/>
    <w:family w:val="swiss"/>
    <w:pitch w:val="variable"/>
    <w:sig w:usb0="20000287" w:usb1="00000003" w:usb2="00000000" w:usb3="00000000" w:csb0="0000019F" w:csb1="00000000"/>
    <w:embedRegular r:id="rId4" w:fontKey="{11070D35-DABE-48E9-B113-152CDE3879E8}"/>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C" w14:textId="77777777" w:rsidR="00E32A91" w:rsidRDefault="00E32A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5E505" w14:textId="77777777" w:rsidR="0005779D" w:rsidRDefault="0005779D">
      <w:pPr>
        <w:spacing w:after="0" w:line="240" w:lineRule="auto"/>
      </w:pPr>
      <w:r>
        <w:separator/>
      </w:r>
    </w:p>
  </w:footnote>
  <w:footnote w:type="continuationSeparator" w:id="0">
    <w:p w14:paraId="4F42AB4F" w14:textId="77777777" w:rsidR="0005779D" w:rsidRDefault="000577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C13485"/>
    <w:multiLevelType w:val="multilevel"/>
    <w:tmpl w:val="0E203C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17283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A91"/>
    <w:rsid w:val="0005779D"/>
    <w:rsid w:val="0099616A"/>
    <w:rsid w:val="00BB7E3F"/>
    <w:rsid w:val="00E32A91"/>
    <w:rsid w:val="00EF721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5BDE8"/>
  <w15:docId w15:val="{2DDA106D-5105-448D-84D9-1FBDDF88C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80"/>
      <w:outlineLvl w:val="0"/>
    </w:pPr>
    <w:rPr>
      <w:rFonts w:ascii="Play" w:eastAsia="Play" w:hAnsi="Play" w:cs="Play"/>
      <w:color w:val="2E75B5"/>
      <w:sz w:val="40"/>
      <w:szCs w:val="40"/>
    </w:rPr>
  </w:style>
  <w:style w:type="paragraph" w:styleId="Ttulo2">
    <w:name w:val="heading 2"/>
    <w:basedOn w:val="Normal"/>
    <w:next w:val="Normal"/>
    <w:link w:val="Ttulo2Car"/>
    <w:uiPriority w:val="9"/>
    <w:semiHidden/>
    <w:unhideWhenUsed/>
    <w:qFormat/>
    <w:pPr>
      <w:keepNext/>
      <w:keepLines/>
      <w:spacing w:before="160" w:after="80"/>
      <w:outlineLvl w:val="1"/>
    </w:pPr>
    <w:rPr>
      <w:rFonts w:ascii="Play" w:eastAsia="Play" w:hAnsi="Play" w:cs="Play"/>
      <w:color w:val="2E75B5"/>
      <w:sz w:val="32"/>
      <w:szCs w:val="32"/>
    </w:rPr>
  </w:style>
  <w:style w:type="paragraph" w:styleId="Ttulo3">
    <w:name w:val="heading 3"/>
    <w:basedOn w:val="Normal"/>
    <w:next w:val="Normal"/>
    <w:link w:val="Ttulo3Car"/>
    <w:uiPriority w:val="9"/>
    <w:semiHidden/>
    <w:unhideWhenUsed/>
    <w:qFormat/>
    <w:pPr>
      <w:keepNext/>
      <w:keepLines/>
      <w:spacing w:before="160" w:after="80"/>
      <w:outlineLvl w:val="2"/>
    </w:pPr>
    <w:rPr>
      <w:color w:val="2E75B5"/>
      <w:sz w:val="28"/>
      <w:szCs w:val="28"/>
    </w:rPr>
  </w:style>
  <w:style w:type="paragraph" w:styleId="Ttulo4">
    <w:name w:val="heading 4"/>
    <w:basedOn w:val="Normal"/>
    <w:next w:val="Normal"/>
    <w:link w:val="Ttulo4Car"/>
    <w:uiPriority w:val="9"/>
    <w:semiHidden/>
    <w:unhideWhenUsed/>
    <w:qFormat/>
    <w:pPr>
      <w:keepNext/>
      <w:keepLines/>
      <w:spacing w:before="80" w:after="40"/>
      <w:outlineLvl w:val="3"/>
    </w:pPr>
    <w:rPr>
      <w:i/>
      <w:color w:val="2E75B5"/>
    </w:rPr>
  </w:style>
  <w:style w:type="paragraph" w:styleId="Ttulo5">
    <w:name w:val="heading 5"/>
    <w:basedOn w:val="Normal"/>
    <w:next w:val="Normal"/>
    <w:link w:val="Ttulo5Car"/>
    <w:uiPriority w:val="9"/>
    <w:semiHidden/>
    <w:unhideWhenUsed/>
    <w:qFormat/>
    <w:pPr>
      <w:keepNext/>
      <w:keepLines/>
      <w:spacing w:before="80" w:after="40"/>
      <w:outlineLvl w:val="4"/>
    </w:pPr>
    <w:rPr>
      <w:color w:val="2E75B5"/>
    </w:rPr>
  </w:style>
  <w:style w:type="paragraph" w:styleId="Ttulo6">
    <w:name w:val="heading 6"/>
    <w:basedOn w:val="Normal"/>
    <w:next w:val="Normal"/>
    <w:link w:val="Ttulo6Car"/>
    <w:uiPriority w:val="9"/>
    <w:semiHidden/>
    <w:unhideWhenUsed/>
    <w:qFormat/>
    <w:pPr>
      <w:keepNext/>
      <w:keepLines/>
      <w:spacing w:before="40" w:after="0"/>
      <w:outlineLvl w:val="5"/>
    </w:pPr>
    <w:rPr>
      <w:i/>
      <w:color w:val="595959"/>
    </w:rPr>
  </w:style>
  <w:style w:type="paragraph" w:styleId="Ttulo7">
    <w:name w:val="heading 7"/>
    <w:basedOn w:val="Normal"/>
    <w:next w:val="Normal"/>
    <w:link w:val="Ttulo7Car"/>
    <w:uiPriority w:val="9"/>
    <w:semiHidden/>
    <w:unhideWhenUsed/>
    <w:qFormat/>
    <w:rsid w:val="002521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521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521F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link w:val="TtuloCar"/>
    <w:uiPriority w:val="10"/>
    <w:qFormat/>
    <w:pPr>
      <w:spacing w:after="80" w:line="240" w:lineRule="auto"/>
    </w:pPr>
    <w:rPr>
      <w:rFonts w:ascii="Play" w:eastAsia="Play" w:hAnsi="Play" w:cs="Play"/>
      <w:sz w:val="56"/>
      <w:szCs w:val="56"/>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2521F5"/>
    <w:rPr>
      <w:rFonts w:asciiTheme="majorHAnsi" w:eastAsiaTheme="majorEastAsia" w:hAnsiTheme="majorHAnsi" w:cstheme="majorBidi"/>
      <w:color w:val="2E74B5" w:themeColor="accent1" w:themeShade="BF"/>
      <w:sz w:val="40"/>
      <w:szCs w:val="40"/>
    </w:rPr>
  </w:style>
  <w:style w:type="character" w:customStyle="1" w:styleId="Ttulo2Car">
    <w:name w:val="Título 2 Car"/>
    <w:basedOn w:val="Fuentedeprrafopredeter"/>
    <w:link w:val="Ttulo2"/>
    <w:uiPriority w:val="9"/>
    <w:semiHidden/>
    <w:rsid w:val="002521F5"/>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2521F5"/>
    <w:rPr>
      <w:rFonts w:eastAsiaTheme="majorEastAsia" w:cstheme="majorBidi"/>
      <w:color w:val="2E74B5" w:themeColor="accent1" w:themeShade="BF"/>
      <w:sz w:val="28"/>
      <w:szCs w:val="28"/>
    </w:rPr>
  </w:style>
  <w:style w:type="character" w:customStyle="1" w:styleId="Ttulo4Car">
    <w:name w:val="Título 4 Car"/>
    <w:basedOn w:val="Fuentedeprrafopredeter"/>
    <w:link w:val="Ttulo4"/>
    <w:uiPriority w:val="9"/>
    <w:semiHidden/>
    <w:rsid w:val="002521F5"/>
    <w:rPr>
      <w:rFonts w:eastAsiaTheme="majorEastAsia" w:cstheme="majorBidi"/>
      <w:i/>
      <w:iCs/>
      <w:color w:val="2E74B5" w:themeColor="accent1" w:themeShade="BF"/>
    </w:rPr>
  </w:style>
  <w:style w:type="character" w:customStyle="1" w:styleId="Ttulo5Car">
    <w:name w:val="Título 5 Car"/>
    <w:basedOn w:val="Fuentedeprrafopredeter"/>
    <w:link w:val="Ttulo5"/>
    <w:uiPriority w:val="9"/>
    <w:semiHidden/>
    <w:rsid w:val="002521F5"/>
    <w:rPr>
      <w:rFonts w:eastAsiaTheme="majorEastAsia" w:cstheme="majorBidi"/>
      <w:color w:val="2E74B5" w:themeColor="accent1" w:themeShade="BF"/>
    </w:rPr>
  </w:style>
  <w:style w:type="character" w:customStyle="1" w:styleId="Ttulo6Car">
    <w:name w:val="Título 6 Car"/>
    <w:basedOn w:val="Fuentedeprrafopredeter"/>
    <w:link w:val="Ttulo6"/>
    <w:uiPriority w:val="9"/>
    <w:semiHidden/>
    <w:rsid w:val="002521F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521F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521F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521F5"/>
    <w:rPr>
      <w:rFonts w:eastAsiaTheme="majorEastAsia" w:cstheme="majorBidi"/>
      <w:color w:val="272727" w:themeColor="text1" w:themeTint="D8"/>
    </w:rPr>
  </w:style>
  <w:style w:type="character" w:customStyle="1" w:styleId="TtuloCar">
    <w:name w:val="Título Car"/>
    <w:basedOn w:val="Fuentedeprrafopredeter"/>
    <w:link w:val="Ttulo"/>
    <w:uiPriority w:val="10"/>
    <w:rsid w:val="002521F5"/>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link w:val="Subttulo"/>
    <w:uiPriority w:val="11"/>
    <w:rsid w:val="002521F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521F5"/>
    <w:pPr>
      <w:spacing w:before="160"/>
      <w:jc w:val="center"/>
    </w:pPr>
    <w:rPr>
      <w:i/>
      <w:iCs/>
      <w:color w:val="404040" w:themeColor="text1" w:themeTint="BF"/>
    </w:rPr>
  </w:style>
  <w:style w:type="character" w:customStyle="1" w:styleId="CitaCar">
    <w:name w:val="Cita Car"/>
    <w:basedOn w:val="Fuentedeprrafopredeter"/>
    <w:link w:val="Cita"/>
    <w:uiPriority w:val="29"/>
    <w:rsid w:val="002521F5"/>
    <w:rPr>
      <w:i/>
      <w:iCs/>
      <w:color w:val="404040" w:themeColor="text1" w:themeTint="BF"/>
    </w:rPr>
  </w:style>
  <w:style w:type="paragraph" w:styleId="Prrafodelista">
    <w:name w:val="List Paragraph"/>
    <w:basedOn w:val="Normal"/>
    <w:uiPriority w:val="34"/>
    <w:qFormat/>
    <w:rsid w:val="002521F5"/>
    <w:pPr>
      <w:ind w:left="720"/>
      <w:contextualSpacing/>
    </w:pPr>
  </w:style>
  <w:style w:type="character" w:styleId="nfasisintenso">
    <w:name w:val="Intense Emphasis"/>
    <w:basedOn w:val="Fuentedeprrafopredeter"/>
    <w:uiPriority w:val="21"/>
    <w:qFormat/>
    <w:rsid w:val="002521F5"/>
    <w:rPr>
      <w:i/>
      <w:iCs/>
      <w:color w:val="2E74B5" w:themeColor="accent1" w:themeShade="BF"/>
    </w:rPr>
  </w:style>
  <w:style w:type="paragraph" w:styleId="Citadestacada">
    <w:name w:val="Intense Quote"/>
    <w:basedOn w:val="Normal"/>
    <w:next w:val="Normal"/>
    <w:link w:val="CitadestacadaCar"/>
    <w:uiPriority w:val="30"/>
    <w:qFormat/>
    <w:rsid w:val="002521F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2521F5"/>
    <w:rPr>
      <w:i/>
      <w:iCs/>
      <w:color w:val="2E74B5" w:themeColor="accent1" w:themeShade="BF"/>
    </w:rPr>
  </w:style>
  <w:style w:type="character" w:styleId="Referenciaintensa">
    <w:name w:val="Intense Reference"/>
    <w:basedOn w:val="Fuentedeprrafopredeter"/>
    <w:uiPriority w:val="32"/>
    <w:qFormat/>
    <w:rsid w:val="002521F5"/>
    <w:rPr>
      <w:b/>
      <w:bCs/>
      <w:smallCaps/>
      <w:color w:val="2E74B5" w:themeColor="accent1" w:themeShade="BF"/>
      <w:spacing w:val="5"/>
    </w:rPr>
  </w:style>
  <w:style w:type="paragraph" w:styleId="NormalWeb">
    <w:name w:val="Normal (Web)"/>
    <w:basedOn w:val="Normal"/>
    <w:uiPriority w:val="99"/>
    <w:semiHidden/>
    <w:unhideWhenUsed/>
    <w:rsid w:val="00660F73"/>
    <w:pPr>
      <w:spacing w:before="100" w:beforeAutospacing="1" w:after="100" w:afterAutospacing="1" w:line="240" w:lineRule="auto"/>
    </w:pPr>
    <w:rPr>
      <w:rFonts w:ascii="Times New Roman" w:eastAsia="Times New Roman" w:hAnsi="Times New Roman" w:cs="Times New Roman"/>
      <w:sz w:val="24"/>
      <w:szCs w:val="24"/>
    </w:rPr>
  </w:style>
  <w:style w:type="paragraph" w:styleId="Subttulo">
    <w:name w:val="Subtitle"/>
    <w:basedOn w:val="Normal"/>
    <w:next w:val="Normal"/>
    <w:link w:val="SubttuloC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xx0mJBwN1G3tNZ8DhQ1ANtzTDA==">CgMxLjA4AHIhMWVOMzl1R1B2ckRDdVlwZXJGNWJVS2FqSzJYT012ZnRZ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1000</Words>
  <Characters>5500</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Coper Lic</dc:creator>
  <cp:lastModifiedBy>Usuario</cp:lastModifiedBy>
  <cp:revision>2</cp:revision>
  <dcterms:created xsi:type="dcterms:W3CDTF">2025-07-14T19:59:00Z</dcterms:created>
  <dcterms:modified xsi:type="dcterms:W3CDTF">2025-09-18T23:23:00Z</dcterms:modified>
</cp:coreProperties>
</file>